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200"/>
      </w:pPr>
      <w:r>
        <w:rPr>
          <w:rFonts w:ascii="Georgia" w:cs="Georgia" w:eastAsia="Georgia" w:hAnsi="Georgia"/>
          <w:b/>
          <w:bCs/>
          <w:color w:val="141414"/>
          <w:sz w:val="44"/>
          <w:szCs w:val="44"/>
        </w:rPr>
        <w:t xml:space="preserve">Solve by QuanFi — User Guide</w:t>
      </w:r>
    </w:p>
    <w:p>
      <w:pPr>
        <w:pBdr>
          <w:bottom w:val="single" w:color="B7912E" w:sz="8"/>
        </w:pBdr>
        <w:spacing w:after="240"/>
      </w:pPr>
      <w:r>
        <w:rPr>
          <w:rFonts w:ascii="Calibri" w:cs="Calibri" w:eastAsia="Calibri" w:hAnsi="Calibri"/>
          <w:color w:val="6B6B6B"/>
          <w:sz w:val="22"/>
          <w:szCs w:val="22"/>
        </w:rPr>
        <w:t xml:space="preserve">How to report a billing problem, review your letter, and send it — in plain English.</w:t>
      </w:r>
    </w:p>
    <w:p>
      <w:pPr>
        <w:pStyle w:val="Heading1"/>
        <w:spacing w:after="160" w:before="320"/>
      </w:pPr>
      <w:r>
        <w:rPr>
          <w:rFonts w:ascii="Georgia" w:cs="Georgia" w:eastAsia="Georgia" w:hAnsi="Georgia"/>
          <w:b/>
          <w:bCs/>
          <w:color w:val="141414"/>
          <w:sz w:val="32"/>
          <w:szCs w:val="32"/>
        </w:rPr>
        <w:t xml:space="preserve">Reporting a billing problem</w:t>
      </w:r>
    </w:p>
    <w:p>
      <w:pPr>
        <w:pStyle w:val="ListParagraph"/>
        <w:numPr>
          <w:ilvl w:val="0"/>
          <w:numId w:val="2"/>
        </w:numPr>
        <w:spacing w:after="80"/>
      </w:pPr>
      <w:r>
        <w:rPr>
          <w:rFonts w:ascii="Calibri" w:cs="Calibri" w:eastAsia="Calibri" w:hAnsi="Calibri"/>
          <w:sz w:val="22"/>
          <w:szCs w:val="22"/>
        </w:rPr>
        <w:t xml:space="preserve">Log in and open your dashboard.</w:t>
      </w:r>
    </w:p>
    <w:p>
      <w:pPr>
        <w:pStyle w:val="ListParagraph"/>
        <w:numPr>
          <w:ilvl w:val="0"/>
          <w:numId w:val="2"/>
        </w:numPr>
        <w:spacing w:after="80"/>
      </w:pPr>
      <w:r>
        <w:rPr>
          <w:rFonts w:ascii="Calibri" w:cs="Calibri" w:eastAsia="Calibri" w:hAnsi="Calibri"/>
          <w:sz w:val="22"/>
          <w:szCs w:val="22"/>
        </w:rPr>
        <w:t xml:space="preserve">Find the box titled ‘Something wrong with a charge?’</w:t>
      </w:r>
    </w:p>
    <w:p>
      <w:pPr>
        <w:pStyle w:val="ListParagraph"/>
        <w:numPr>
          <w:ilvl w:val="0"/>
          <w:numId w:val="2"/>
        </w:numPr>
        <w:spacing w:after="80"/>
      </w:pPr>
      <w:r>
        <w:rPr>
          <w:rFonts w:ascii="Calibri" w:cs="Calibri" w:eastAsia="Calibri" w:hAnsi="Calibri"/>
          <w:sz w:val="22"/>
          <w:szCs w:val="22"/>
        </w:rPr>
        <w:t xml:space="preserve">Describe the problem in your own words. Example: ‘CloudVault charged my card and my PayPal this month for one account.’</w:t>
      </w:r>
    </w:p>
    <w:p>
      <w:pPr>
        <w:pStyle w:val="ListParagraph"/>
        <w:numPr>
          <w:ilvl w:val="0"/>
          <w:numId w:val="2"/>
        </w:numPr>
        <w:spacing w:after="80"/>
      </w:pPr>
      <w:r>
        <w:rPr>
          <w:rFonts w:ascii="Calibri" w:cs="Calibri" w:eastAsia="Calibri" w:hAnsi="Calibri"/>
          <w:sz w:val="22"/>
          <w:szCs w:val="22"/>
        </w:rPr>
        <w:t xml:space="preserve">Press ‘Draft my letter’. We understand the situation, pull out the facts you gave, and write the letter.</w:t>
      </w:r>
    </w:p>
    <w:p>
      <w:pPr>
        <w:pStyle w:val="ListParagraph"/>
        <w:numPr>
          <w:ilvl w:val="0"/>
          <w:numId w:val="2"/>
        </w:numPr>
        <w:spacing w:after="80"/>
      </w:pPr>
      <w:r>
        <w:rPr>
          <w:rFonts w:ascii="Calibri" w:cs="Calibri" w:eastAsia="Calibri" w:hAnsi="Calibri"/>
          <w:sz w:val="22"/>
          <w:szCs w:val="22"/>
        </w:rPr>
        <w:t xml:space="preserve">If one more detail would make your letter stronger, we ask for exactly that detail — nothing more.</w:t>
      </w:r>
    </w:p>
    <w:p>
      <w:pPr>
        <w:pStyle w:val="Heading1"/>
        <w:spacing w:after="160" w:before="320"/>
      </w:pPr>
      <w:r>
        <w:rPr>
          <w:rFonts w:ascii="Georgia" w:cs="Georgia" w:eastAsia="Georgia" w:hAnsi="Georgia"/>
          <w:b/>
          <w:bCs/>
          <w:color w:val="141414"/>
          <w:sz w:val="32"/>
          <w:szCs w:val="32"/>
        </w:rPr>
        <w:t xml:space="preserve">Reviewing and sending your letter</w:t>
      </w:r>
    </w:p>
    <w:p>
      <w:pPr>
        <w:pStyle w:val="ListParagraph"/>
        <w:numPr>
          <w:ilvl w:val="0"/>
          <w:numId w:val="2"/>
        </w:numPr>
        <w:spacing w:after="80"/>
      </w:pPr>
      <w:r>
        <w:rPr>
          <w:rFonts w:ascii="Calibri" w:cs="Calibri" w:eastAsia="Calibri" w:hAnsi="Calibri"/>
          <w:sz w:val="22"/>
          <w:szCs w:val="22"/>
        </w:rPr>
        <w:t xml:space="preserve">Your letter appears as a card with the merchant’s name. While our team gives it a final check, the card says ‘Being reviewed by our team’.</w:t>
      </w:r>
    </w:p>
    <w:p>
      <w:pPr>
        <w:pStyle w:val="ListParagraph"/>
        <w:numPr>
          <w:ilvl w:val="0"/>
          <w:numId w:val="2"/>
        </w:numPr>
        <w:spacing w:after="80"/>
      </w:pPr>
      <w:r>
        <w:rPr>
          <w:rFonts w:ascii="Calibri" w:cs="Calibri" w:eastAsia="Calibri" w:hAnsi="Calibri"/>
          <w:sz w:val="22"/>
          <w:szCs w:val="22"/>
        </w:rPr>
        <w:t xml:space="preserve">When it is ready, the card says ‘Ready for you — open and send’. Tap it.</w:t>
      </w:r>
    </w:p>
    <w:p>
      <w:pPr>
        <w:pStyle w:val="ListParagraph"/>
        <w:numPr>
          <w:ilvl w:val="0"/>
          <w:numId w:val="2"/>
        </w:numPr>
        <w:spacing w:after="80"/>
      </w:pPr>
      <w:r>
        <w:rPr>
          <w:rFonts w:ascii="Calibri" w:cs="Calibri" w:eastAsia="Calibri" w:hAnsi="Calibri"/>
          <w:sz w:val="22"/>
          <w:szCs w:val="22"/>
        </w:rPr>
        <w:t xml:space="preserve">Read the letter. Change any words you like — your words always win.</w:t>
      </w:r>
    </w:p>
    <w:p>
      <w:pPr>
        <w:pStyle w:val="ListParagraph"/>
        <w:numPr>
          <w:ilvl w:val="0"/>
          <w:numId w:val="2"/>
        </w:numPr>
        <w:spacing w:after="80"/>
      </w:pPr>
      <w:r>
        <w:rPr>
          <w:rFonts w:ascii="Calibri" w:cs="Calibri" w:eastAsia="Calibri" w:hAnsi="Calibri"/>
          <w:sz w:val="22"/>
          <w:szCs w:val="22"/>
        </w:rPr>
        <w:t xml:space="preserve">Want a different version? Ask for a redo, up to three versions per letter.</w:t>
      </w:r>
    </w:p>
    <w:p>
      <w:pPr>
        <w:pStyle w:val="ListParagraph"/>
        <w:numPr>
          <w:ilvl w:val="0"/>
          <w:numId w:val="2"/>
        </w:numPr>
        <w:spacing w:after="80"/>
      </w:pPr>
      <w:r>
        <w:rPr>
          <w:rFonts w:ascii="Calibri" w:cs="Calibri" w:eastAsia="Calibri" w:hAnsi="Calibri"/>
          <w:sz w:val="22"/>
          <w:szCs w:val="22"/>
        </w:rPr>
        <w:t xml:space="preserve">Tap ‘Approve and send — you are the sender’. The letter goes out from your own email address. We never send anything as you.</w:t>
      </w:r>
    </w:p>
    <w:p>
      <w:pPr>
        <w:pStyle w:val="ListParagraph"/>
        <w:numPr>
          <w:ilvl w:val="0"/>
          <w:numId w:val="2"/>
        </w:numPr>
        <w:spacing w:after="80"/>
      </w:pPr>
      <w:r>
        <w:rPr>
          <w:rFonts w:ascii="Calibri" w:cs="Calibri" w:eastAsia="Calibri" w:hAnsi="Calibri"/>
          <w:sz w:val="22"/>
          <w:szCs w:val="22"/>
        </w:rPr>
        <w:t xml:space="preserve">Below the letter, your proof trail shows every step with its exact time — your evidence, on file.</w:t>
      </w:r>
    </w:p>
    <w:p>
      <w:pPr>
        <w:pStyle w:val="Heading1"/>
        <w:spacing w:after="160" w:before="320"/>
      </w:pPr>
      <w:r>
        <w:rPr>
          <w:rFonts w:ascii="Georgia" w:cs="Georgia" w:eastAsia="Georgia" w:hAnsi="Georgia"/>
          <w:b/>
          <w:bCs/>
          <w:color w:val="141414"/>
          <w:sz w:val="32"/>
          <w:szCs w:val="32"/>
        </w:rPr>
        <w:t xml:space="preserve">If a merchant charges you after you cancelled</w:t>
      </w:r>
    </w:p>
    <w:p>
      <w:pPr>
        <w:spacing w:after="120"/>
      </w:pPr>
      <w:r>
        <w:rPr>
          <w:rFonts w:ascii="Calibri" w:cs="Calibri" w:eastAsia="Calibri" w:hAnsi="Calibri"/>
          <w:sz w:val="22"/>
          <w:szCs w:val="22"/>
        </w:rPr>
        <w:t xml:space="preserve">We watch for this. If a cancelled charge comes back, the card turns red and your dispute letter is already drafted, with the proof attached — the statement line, your cancellation notice, and the timestamps. Review it and send it the same way.</w:t>
      </w:r>
    </w:p>
    <w:p>
      <w:pPr>
        <w:pStyle w:val="Heading1"/>
        <w:spacing w:after="160" w:before="320"/>
      </w:pPr>
      <w:r>
        <w:rPr>
          <w:rFonts w:ascii="Georgia" w:cs="Georgia" w:eastAsia="Georgia" w:hAnsi="Georgia"/>
          <w:b/>
          <w:bCs/>
          <w:color w:val="141414"/>
          <w:sz w:val="32"/>
          <w:szCs w:val="32"/>
        </w:rPr>
        <w:t xml:space="preserve">What each status means</w:t>
      </w:r>
    </w:p>
    <w:tbl>
      <w:tblPr>
        <w:tblW w:type="dxa" w:w="9720"/>
        <w:tblBorders>
          <w:top w:val="single" w:color="auto" w:sz="4"/>
          <w:left w:val="single" w:color="auto" w:sz="4"/>
          <w:bottom w:val="single" w:color="auto" w:sz="4"/>
          <w:right w:val="single" w:color="auto" w:sz="4"/>
          <w:insideH w:val="single" w:color="auto" w:sz="4"/>
          <w:insideV w:val="single" w:color="auto" w:sz="4"/>
        </w:tblBorders>
      </w:tblPr>
      <w:tblGrid>
        <w:gridCol w:w="3400"/>
        <w:gridCol w:w="6320"/>
      </w:tblGrid>
      <w:tr>
        <w:tc>
          <w:tcPr>
            <w:tcW w:type="dxa" w:w="3400"/>
            <w:shd w:fill="EDE9DC" w:val="clear"/>
          </w:tcPr>
          <w:p>
            <w:r>
              <w:rPr>
                <w:rFonts w:ascii="Calibri" w:cs="Calibri" w:eastAsia="Calibri" w:hAnsi="Calibri"/>
                <w:b/>
                <w:bCs/>
                <w:sz w:val="21"/>
                <w:szCs w:val="21"/>
              </w:rPr>
              <w:t xml:space="preserve">What the card says</w:t>
            </w:r>
          </w:p>
        </w:tc>
        <w:tc>
          <w:tcPr>
            <w:tcW w:type="dxa" w:w="6320"/>
            <w:shd w:fill="EDE9DC" w:val="clear"/>
          </w:tcPr>
          <w:p>
            <w:r>
              <w:rPr>
                <w:rFonts w:ascii="Calibri" w:cs="Calibri" w:eastAsia="Calibri" w:hAnsi="Calibri"/>
                <w:b/>
                <w:bCs/>
                <w:sz w:val="21"/>
                <w:szCs w:val="21"/>
              </w:rPr>
              <w:t xml:space="preserve">What it means</w:t>
            </w:r>
          </w:p>
        </w:tc>
      </w:tr>
      <w:tr>
        <w:tc>
          <w:tcPr>
            <w:tcW w:type="dxa" w:w="3400"/>
          </w:tcPr>
          <w:p>
            <w:r>
              <w:rPr>
                <w:rFonts w:ascii="Calibri" w:cs="Calibri" w:eastAsia="Calibri" w:hAnsi="Calibri"/>
                <w:b w:val="false"/>
                <w:bCs w:val="false"/>
                <w:sz w:val="21"/>
                <w:szCs w:val="21"/>
              </w:rPr>
              <w:t xml:space="preserve">Being reviewed by our team</w:t>
            </w:r>
          </w:p>
        </w:tc>
        <w:tc>
          <w:tcPr>
            <w:tcW w:type="dxa" w:w="6320"/>
          </w:tcPr>
          <w:p>
            <w:r>
              <w:rPr>
                <w:rFonts w:ascii="Calibri" w:cs="Calibri" w:eastAsia="Calibri" w:hAnsi="Calibri"/>
                <w:b w:val="false"/>
                <w:bCs w:val="false"/>
                <w:sz w:val="21"/>
                <w:szCs w:val="21"/>
              </w:rPr>
              <w:t xml:space="preserve">A final human check. No action needed from you.</w:t>
            </w:r>
          </w:p>
        </w:tc>
      </w:tr>
      <w:tr>
        <w:tc>
          <w:tcPr>
            <w:tcW w:type="dxa" w:w="3400"/>
          </w:tcPr>
          <w:p>
            <w:r>
              <w:rPr>
                <w:rFonts w:ascii="Calibri" w:cs="Calibri" w:eastAsia="Calibri" w:hAnsi="Calibri"/>
                <w:b w:val="false"/>
                <w:bCs w:val="false"/>
                <w:sz w:val="21"/>
                <w:szCs w:val="21"/>
              </w:rPr>
              <w:t xml:space="preserve">Ready for you — open and send</w:t>
            </w:r>
          </w:p>
        </w:tc>
        <w:tc>
          <w:tcPr>
            <w:tcW w:type="dxa" w:w="6320"/>
          </w:tcPr>
          <w:p>
            <w:r>
              <w:rPr>
                <w:rFonts w:ascii="Calibri" w:cs="Calibri" w:eastAsia="Calibri" w:hAnsi="Calibri"/>
                <w:b w:val="false"/>
                <w:bCs w:val="false"/>
                <w:sz w:val="21"/>
                <w:szCs w:val="21"/>
              </w:rPr>
              <w:t xml:space="preserve">Approved. Open it, read it, send it.</w:t>
            </w:r>
          </w:p>
        </w:tc>
      </w:tr>
      <w:tr>
        <w:tc>
          <w:tcPr>
            <w:tcW w:type="dxa" w:w="3400"/>
          </w:tcPr>
          <w:p>
            <w:r>
              <w:rPr>
                <w:rFonts w:ascii="Calibri" w:cs="Calibri" w:eastAsia="Calibri" w:hAnsi="Calibri"/>
                <w:b w:val="false"/>
                <w:bCs w:val="false"/>
                <w:sz w:val="21"/>
                <w:szCs w:val="21"/>
              </w:rPr>
              <w:t xml:space="preserve">Sent — awaiting merchant</w:t>
            </w:r>
          </w:p>
        </w:tc>
        <w:tc>
          <w:tcPr>
            <w:tcW w:type="dxa" w:w="6320"/>
          </w:tcPr>
          <w:p>
            <w:r>
              <w:rPr>
                <w:rFonts w:ascii="Calibri" w:cs="Calibri" w:eastAsia="Calibri" w:hAnsi="Calibri"/>
                <w:b w:val="false"/>
                <w:bCs w:val="false"/>
                <w:sz w:val="21"/>
                <w:szCs w:val="21"/>
              </w:rPr>
              <w:t xml:space="preserve">Your letter went out. Waiting for the merchant’s reply.</w:t>
            </w:r>
          </w:p>
        </w:tc>
      </w:tr>
      <w:tr>
        <w:tc>
          <w:tcPr>
            <w:tcW w:type="dxa" w:w="3400"/>
          </w:tcPr>
          <w:p>
            <w:r>
              <w:rPr>
                <w:rFonts w:ascii="Calibri" w:cs="Calibri" w:eastAsia="Calibri" w:hAnsi="Calibri"/>
                <w:b w:val="false"/>
                <w:bCs w:val="false"/>
                <w:sz w:val="21"/>
                <w:szCs w:val="21"/>
              </w:rPr>
              <w:t xml:space="preserve">Cancelled ✓</w:t>
            </w:r>
          </w:p>
        </w:tc>
        <w:tc>
          <w:tcPr>
            <w:tcW w:type="dxa" w:w="6320"/>
          </w:tcPr>
          <w:p>
            <w:r>
              <w:rPr>
                <w:rFonts w:ascii="Calibri" w:cs="Calibri" w:eastAsia="Calibri" w:hAnsi="Calibri"/>
                <w:b w:val="false"/>
                <w:bCs w:val="false"/>
                <w:sz w:val="21"/>
                <w:szCs w:val="21"/>
              </w:rPr>
              <w:t xml:space="preserve">Confirmed done.</w:t>
            </w:r>
          </w:p>
        </w:tc>
      </w:tr>
      <w:tr>
        <w:tc>
          <w:tcPr>
            <w:tcW w:type="dxa" w:w="3400"/>
          </w:tcPr>
          <w:p>
            <w:r>
              <w:rPr>
                <w:rFonts w:ascii="Calibri" w:cs="Calibri" w:eastAsia="Calibri" w:hAnsi="Calibri"/>
                <w:b w:val="false"/>
                <w:bCs w:val="false"/>
                <w:sz w:val="21"/>
                <w:szCs w:val="21"/>
              </w:rPr>
              <w:t xml:space="preserve">Charged after cancel — dispute drafted</w:t>
            </w:r>
          </w:p>
        </w:tc>
        <w:tc>
          <w:tcPr>
            <w:tcW w:type="dxa" w:w="6320"/>
          </w:tcPr>
          <w:p>
            <w:r>
              <w:rPr>
                <w:rFonts w:ascii="Calibri" w:cs="Calibri" w:eastAsia="Calibri" w:hAnsi="Calibri"/>
                <w:b w:val="false"/>
                <w:bCs w:val="false"/>
                <w:sz w:val="21"/>
                <w:szCs w:val="21"/>
              </w:rPr>
              <w:t xml:space="preserve">A charge came back. Your dispute letter is ready to review.</w:t>
            </w:r>
          </w:p>
        </w:tc>
      </w:tr>
    </w:tbl>
    <w:p>
      <w:pPr>
        <w:pStyle w:val="Heading1"/>
        <w:spacing w:after="160" w:before="320"/>
      </w:pPr>
      <w:r>
        <w:rPr>
          <w:rFonts w:ascii="Georgia" w:cs="Georgia" w:eastAsia="Georgia" w:hAnsi="Georgia"/>
          <w:b/>
          <w:bCs/>
          <w:color w:val="141414"/>
          <w:sz w:val="32"/>
          <w:szCs w:val="32"/>
        </w:rPr>
        <w:t xml:space="preserve">For business accounts (VMS)</w:t>
      </w:r>
    </w:p>
    <w:p>
      <w:pPr>
        <w:spacing w:after="120"/>
      </w:pPr>
      <w:r>
        <w:rPr>
          <w:rFonts w:ascii="Calibri" w:cs="Calibri" w:eastAsia="Calibri" w:hAnsi="Calibri"/>
          <w:sz w:val="22"/>
          <w:szCs w:val="22"/>
        </w:rPr>
        <w:t xml:space="preserve">Businesses use the same engine at vms.quanfi.app, aimed at vendor spending. Upload vendor invoices, and the same checks find duplicate invoices and overcharges. Letters to suppliers work exactly like the letters above: drafted from your facts, reviewed, and sent by your business itself. Seats and allowances are shared across your whole company.</w:t>
      </w:r>
    </w:p>
    <w:p>
      <w:pPr>
        <w:pStyle w:val="Heading1"/>
        <w:spacing w:after="160" w:before="320"/>
      </w:pPr>
      <w:r>
        <w:rPr>
          <w:rFonts w:ascii="Georgia" w:cs="Georgia" w:eastAsia="Georgia" w:hAnsi="Georgia"/>
          <w:b/>
          <w:bCs/>
          <w:color w:val="141414"/>
          <w:sz w:val="32"/>
          <w:szCs w:val="32"/>
        </w:rPr>
        <w:t xml:space="preserve">Quick answers</w:t>
      </w:r>
    </w:p>
    <w:p>
      <w:pPr>
        <w:pStyle w:val="ListParagraph"/>
        <w:numPr>
          <w:ilvl w:val="0"/>
          <w:numId w:val="3"/>
        </w:numPr>
        <w:spacing w:after="60"/>
      </w:pPr>
      <w:r>
        <w:rPr>
          <w:rFonts w:ascii="Calibri" w:cs="Calibri" w:eastAsia="Calibri" w:hAnsi="Calibri"/>
          <w:sz w:val="22"/>
          <w:szCs w:val="22"/>
        </w:rPr>
        <w:t xml:space="preserve">A card is stuck on ‘Being reviewed’: our team is checking it. It unlocks shortly.</w:t>
      </w:r>
    </w:p>
    <w:p>
      <w:pPr>
        <w:pStyle w:val="ListParagraph"/>
        <w:numPr>
          <w:ilvl w:val="0"/>
          <w:numId w:val="3"/>
        </w:numPr>
        <w:spacing w:after="60"/>
      </w:pPr>
      <w:r>
        <w:rPr>
          <w:rFonts w:ascii="Calibri" w:cs="Calibri" w:eastAsia="Calibri" w:hAnsi="Calibri"/>
          <w:sz w:val="22"/>
          <w:szCs w:val="22"/>
        </w:rPr>
        <w:t xml:space="preserve">‘No drafted-letter credits available’: you have used your plan’s included letters. Add one for $4.99 in Add-ons.</w:t>
      </w:r>
    </w:p>
    <w:p>
      <w:pPr>
        <w:pStyle w:val="ListParagraph"/>
        <w:numPr>
          <w:ilvl w:val="0"/>
          <w:numId w:val="3"/>
        </w:numPr>
        <w:spacing w:after="60"/>
      </w:pPr>
      <w:r>
        <w:rPr>
          <w:rFonts w:ascii="Calibri" w:cs="Calibri" w:eastAsia="Calibri" w:hAnsi="Calibri"/>
          <w:sz w:val="22"/>
          <w:szCs w:val="22"/>
        </w:rPr>
        <w:t xml:space="preserve">You asked for one-tap cancellation but got a letter: that merchant has no verified one-tap route yet, so we drafted the strongest alternative instead.</w:t>
      </w:r>
    </w:p>
    <w:p>
      <w:pPr>
        <w:pStyle w:val="ListParagraph"/>
        <w:numPr>
          <w:ilvl w:val="0"/>
          <w:numId w:val="3"/>
        </w:numPr>
        <w:spacing w:after="60"/>
      </w:pPr>
      <w:r>
        <w:rPr>
          <w:rFonts w:ascii="Calibri" w:cs="Calibri" w:eastAsia="Calibri" w:hAnsi="Calibri"/>
          <w:sz w:val="22"/>
          <w:szCs w:val="22"/>
        </w:rPr>
        <w:t xml:space="preserve">A report item says ‘needs review’: we could not verify that claim against your document, so we are telling you honestly instead of presenting it as fact.</w:t>
      </w:r>
    </w:p>
    <w:p>
      <w:pPr>
        <w:spacing w:after="120"/>
      </w:pPr>
      <w:r>
        <w:rPr>
          <w:rFonts w:ascii="Calibri" w:cs="Calibri" w:eastAsia="Calibri" w:hAnsi="Calibri"/>
          <w:sz w:val="22"/>
          <w:szCs w:val="22"/>
        </w:rPr>
        <w:t xml:space="preserve">Anything else: visit the Help Center, ask SoQFi about plans and pricing, or contact support — a human reads every message.</w:t>
      </w:r>
    </w:p>
    <w:sectPr>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lvl>
  </w:abstractNum>
  <w:abstractNum w:abstractNumId="3" w15:restartNumberingAfterBreak="0">
    <w:multiLevelType w:val="hybridMultilevel"/>
    <w:lvl w:ilvl="0" w15:tentative="1">
      <w:start w:val="1"/>
      <w:numFmt w:val="decimal"/>
      <w:lvlText w:val="%1."/>
      <w:lvlJc w:val="left"/>
      <w:pPr>
        <w:ind w:left="400" w:hanging="28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2026-08-21T03:30:33.032Z</dcterms:created>
  <dcterms:modified xsi:type="dcterms:W3CDTF">2026-08-21T03:30:33.046Z</dcterms:modified>
</cp:coreProperties>
</file>

<file path=docProps/custom.xml><?xml version="1.0" encoding="utf-8"?>
<Properties xmlns="http://schemas.openxmlformats.org/officeDocument/2006/custom-properties" xmlns:vt="http://schemas.openxmlformats.org/officeDocument/2006/docPropsVTypes"/>
</file>